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283.7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283.7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34.88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34.88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19.46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19.46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19.88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19.88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454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454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398"/>
                <w:tab w:val="left" w:pos="5742"/>
              </w:tabs>
              <w:jc w:val="left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ab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ab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二、财政拨款收入预算总表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财政拨款收入预算总表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       单位：万元</w:t>
      </w:r>
    </w:p>
    <w:tbl>
      <w:tblPr>
        <w:tblStyle w:val="3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192"/>
        <w:gridCol w:w="1008"/>
        <w:gridCol w:w="1008"/>
        <w:gridCol w:w="984"/>
        <w:gridCol w:w="1140"/>
        <w:gridCol w:w="1308"/>
        <w:gridCol w:w="792"/>
        <w:gridCol w:w="1092"/>
        <w:gridCol w:w="1176"/>
        <w:gridCol w:w="1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功能分类科目</w:t>
            </w:r>
          </w:p>
        </w:tc>
        <w:tc>
          <w:tcPr>
            <w:tcW w:w="10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预算安排总计</w:t>
            </w:r>
          </w:p>
        </w:tc>
        <w:tc>
          <w:tcPr>
            <w:tcW w:w="4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一般公共财政预算拨款支出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科目编码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科目名称</w:t>
            </w:r>
          </w:p>
        </w:tc>
        <w:tc>
          <w:tcPr>
            <w:tcW w:w="10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市本级财力安排支出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自治区专项转移支付安排支出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自治区一般性转移支付安排支出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市本级财力安排支出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自治区专项转移支付安排支出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合计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[325]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中卫市应急管理局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[325001]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中卫市应急管理局机关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2080504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未归口管理的行政单位离退休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2080505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机关事业单位基本养老保险缴费支出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2101101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行政单位医疗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2101102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事业单位医疗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2101103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公务员医疗补助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2210201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住房公积金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2240101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行政运行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2240102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一般行政管理事务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2240106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安全监管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180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2240108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应急救援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2240150</w:t>
            </w:r>
          </w:p>
        </w:tc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事业运行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三、财政拨款支出预算总表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       单位：万元</w:t>
      </w:r>
    </w:p>
    <w:tbl>
      <w:tblPr>
        <w:tblStyle w:val="3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科目编码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科目名称</w:t>
            </w: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shd w:val="clear" w:color="auto" w:fill="auto"/>
              </w:rPr>
              <w:t>市本级财力安排支出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shd w:val="clear" w:color="auto" w:fill="auto"/>
              </w:rPr>
              <w:t>自治区一般性转移支付安排支出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合计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[325]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中卫市应急管理局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[325001]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中卫市应急管理局机关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2080504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未归口管理的行政单位离退休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2080505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行政单位医疗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事业单位医疗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公务员医疗补助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住房公积金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行政运行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一般行政管理事务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安全监管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180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应急救援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2240150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事业运行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四、一般公共预算财政拨款支出表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 单位：万元</w:t>
      </w:r>
    </w:p>
    <w:tbl>
      <w:tblPr>
        <w:tblStyle w:val="3"/>
        <w:tblW w:w="1519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40"/>
        <w:gridCol w:w="1020"/>
        <w:gridCol w:w="1454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555" w:hRule="atLeast"/>
        </w:trPr>
        <w:tc>
          <w:tcPr>
            <w:tcW w:w="36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功能分类科目</w:t>
            </w: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2019年预算数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2019年预算数与2018年执行数（决算数）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1125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科目编码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科目名称</w:t>
            </w: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基本支出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项目支出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增减额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增减%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合计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495.14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357.92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454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316.78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0.39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both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617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[325]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中卫市应急管理局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357.92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454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316.78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0.39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both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17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[325001]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中卫市应急管理局机关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357.92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454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316.78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0.39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both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21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2080504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未归口管理的行政单位离退休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1.55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14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2080505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机关事业单位基本养老保险缴费支出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31.65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0.78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8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行政单位医疗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12.44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0.53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事业单位医疗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公务员医疗补助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6.79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-3.67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2210201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住房公积金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18.42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1.46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行政运行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一般行政管理事务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安全监管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180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2240108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应急救援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8" w:type="dxa"/>
          <w:trHeight w:val="603" w:hRule="atLeast"/>
        </w:trPr>
        <w:tc>
          <w:tcPr>
            <w:tcW w:w="163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2240150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事业运行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五、一般公共预算财政拨款基本支出表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shd w:val="clear" w:color="auto" w:fill="auto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85.59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85.59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70.06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70.06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46.82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46.82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2.96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2.96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32.77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32.77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32.43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32.43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12.97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12.97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6.49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6.49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2.04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2.04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19.88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19.88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</w:p>
    <w:tbl>
      <w:tblPr>
        <w:tblStyle w:val="4"/>
        <w:tblpPr w:leftFromText="180" w:rightFromText="180" w:vertAnchor="text" w:horzAnchor="page" w:tblpX="1513" w:tblpY="12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30199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其他工资福利支出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shd w:val="clear" w:color="auto" w:fill="auto"/>
              </w:rPr>
              <w:t>二、商品和服务支出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办公费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15.56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印刷费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咨询费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手续费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水费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电费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邮电费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取暖费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13.21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13.21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物业管理费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差旅费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因公出国（境）费用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维修（护）费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租赁费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会议费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培训费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公务接待费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专用材料费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30224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被装购置费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专用燃料费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30226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  <w:t>劳务费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8" w:tblpY="3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委托业务费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工会经费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福利费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30231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公务用车运行维护费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outlineLvl w:val="1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30239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其他交通费用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left"/>
              <w:outlineLvl w:val="1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8.03</w:t>
            </w:r>
          </w:p>
          <w:p>
            <w:pPr>
              <w:widowControl/>
              <w:jc w:val="left"/>
              <w:outlineLvl w:val="1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8.03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30240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税金及附加费用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30299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其他商品和服务支出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0.46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三、对个人和家庭的补助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jc w:val="left"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离休费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退休费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退职（役）费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抚恤金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生活补助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救济费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医疗费补助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0.65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0.65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助学金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30309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奖励金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个人农业生产补贴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30399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其他对个人和家庭的补助支出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shd w:val="clear" w:color="auto" w:fill="auto"/>
              </w:rPr>
              <w:t>四、资本性支出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31002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办公设备购置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31003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专用设备购置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31007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信息网络及软件购置更新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tblHeader/>
        </w:trPr>
        <w:tc>
          <w:tcPr>
            <w:tcW w:w="2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31099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其他资本性支出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shd w:val="clear" w:color="auto" w:fill="auto"/>
              </w:rPr>
              <w:t>　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widowControl/>
              <w:outlineLvl w:val="1"/>
              <w:rPr>
                <w:rFonts w:hint="eastAsia" w:ascii="黑体" w:hAnsi="宋体" w:eastAsia="黑体"/>
                <w:b/>
                <w:kern w:val="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六、一般公共预算财政拨款“三公”经费支出表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2019年预算数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1.6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2.4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2.2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2.2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shd w:val="clear" w:color="auto" w:fill="auto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七、政府性基金预算财政拨款支出表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shd w:val="clear" w:color="auto" w:fill="auto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shd w:val="clear" w:color="auto" w:fill="auto"/>
        </w:rPr>
        <w:t>八、部门收支预算总表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shd w:val="clear" w:color="auto" w:fill="auto"/>
        </w:rPr>
        <w:t>九、部门收入总表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  <w:highlight w:val="none"/>
          <w:shd w:val="clear" w:color="auto" w:fill="auto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92"/>
        <w:gridCol w:w="888"/>
        <w:gridCol w:w="1173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本年收入合计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811.92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shd w:val="clear" w:color="auto" w:fill="auto"/>
        </w:rPr>
        <w:t>十、部门支出总表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  <w:highlight w:val="none"/>
          <w:shd w:val="clear" w:color="auto" w:fill="auto"/>
        </w:rPr>
        <w:t>部门支出总表</w:t>
      </w:r>
    </w:p>
    <w:p>
      <w:pPr>
        <w:rPr>
          <w:rFonts w:hint="eastAsia"/>
          <w:szCs w:val="21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shd w:val="clear" w:color="auto" w:fill="auto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2.45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32.43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12.97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3.12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19.88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283.7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180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2240150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shd w:val="clear" w:color="auto" w:fill="auto"/>
              </w:rPr>
              <w:t>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</w:tbl>
    <w:p>
      <w:pPr>
        <w:rPr>
          <w:highlight w:val="none"/>
          <w:shd w:val="clear" w:color="auto" w:fil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1269"/>
    <w:rsid w:val="136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2019-02-15T06:54:00Z</dcterms:created>
  <dc:creator>小大人_evol</dc:creator>
  <cp:lastModifiedBy>小大人_evol</cp:lastModifiedBy>
  <dcterms:modified xsi:type="dcterms:W3CDTF">2019-02-15T07:20:22Z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