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20" w:lineRule="exact"/>
        <w:jc w:val="both"/>
        <w:outlineLvl w:val="1"/>
        <w:rPr>
          <w:rFonts w:hint="eastAsia" w:ascii="黑体" w:hAnsi="宋体" w:eastAsia="黑体" w:cs="Times New Roman"/>
          <w:b/>
          <w:sz w:val="32"/>
          <w:szCs w:val="32"/>
        </w:rPr>
      </w:pPr>
      <w:r>
        <w:rPr>
          <w:rFonts w:hint="eastAsia" w:ascii="黑体" w:hAnsi="宋体" w:eastAsia="黑体" w:cs="Times New Roman"/>
          <w:b/>
          <w:sz w:val="32"/>
          <w:szCs w:val="32"/>
        </w:rPr>
        <w:t>五、一般公共预算财政拨款基本支出表</w:t>
      </w:r>
    </w:p>
    <w:p>
      <w:pPr>
        <w:adjustRightInd/>
        <w:snapToGrid/>
        <w:spacing w:after="0" w:line="520" w:lineRule="exact"/>
        <w:ind w:firstLine="723" w:firstLineChars="200"/>
        <w:jc w:val="center"/>
        <w:outlineLvl w:val="1"/>
        <w:rPr>
          <w:rFonts w:hint="eastAsia" w:ascii="仿宋_GB2312" w:hAnsi="宋体" w:eastAsia="仿宋_GB2312" w:cs="Times New Roman"/>
          <w:b/>
          <w:sz w:val="36"/>
          <w:szCs w:val="36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</w:rPr>
        <w:t>一般公共预算财政拨款基本支出表</w:t>
      </w:r>
    </w:p>
    <w:p>
      <w:pPr>
        <w:adjustRightInd/>
        <w:snapToGrid/>
        <w:spacing w:after="0" w:line="520" w:lineRule="exact"/>
        <w:ind w:firstLine="735"/>
        <w:outlineLvl w:val="1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5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</w:rPr>
              <w:t>功能科目编码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功能科目名称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Calibri"/>
                <w:b/>
                <w:kern w:val="2"/>
              </w:rPr>
            </w:pPr>
            <w:r>
              <w:rPr>
                <w:rFonts w:hint="eastAsia" w:ascii="Calibri" w:hAnsi="Calibri" w:eastAsia="宋体" w:cs="Calibri"/>
                <w:b/>
                <w:kern w:val="2"/>
              </w:rPr>
              <w:t>931.20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2"/>
              </w:rPr>
              <w:t>885.14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kern w:val="2"/>
              </w:rPr>
            </w:pPr>
            <w:r>
              <w:rPr>
                <w:rFonts w:hint="eastAsia" w:ascii="Calibri" w:hAnsi="Calibri" w:eastAsia="宋体" w:cs="Calibri"/>
                <w:b/>
                <w:kern w:val="2"/>
              </w:rPr>
              <w:t>46.06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2"/>
              </w:rPr>
              <w:t>883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.92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2"/>
              </w:rPr>
              <w:t>883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.92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2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2"/>
              </w:rPr>
              <w:t>73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.78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2</w:t>
            </w: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2"/>
              </w:rPr>
              <w:t>73</w:t>
            </w: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.78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116.57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116.57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105.55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105.55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8.54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8.54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126.64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126.64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91.42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91.42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50.94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50.94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3.90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3.90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6.37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6.37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57.01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57.01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</w:rPr>
            </w:pPr>
          </w:p>
        </w:tc>
      </w:tr>
    </w:tbl>
    <w:p>
      <w:pPr>
        <w:adjustRightInd/>
        <w:snapToGrid/>
        <w:spacing w:after="0"/>
        <w:jc w:val="both"/>
        <w:outlineLvl w:val="1"/>
        <w:rPr>
          <w:rFonts w:hint="eastAsia" w:ascii="黑体" w:hAnsi="宋体" w:eastAsia="黑体" w:cs="Times New Roman"/>
          <w:b/>
          <w:sz w:val="32"/>
          <w:szCs w:val="32"/>
        </w:rPr>
      </w:pPr>
    </w:p>
    <w:tbl>
      <w:tblPr>
        <w:tblStyle w:val="5"/>
        <w:tblpPr w:leftFromText="180" w:rightFromText="180" w:vertAnchor="text" w:horzAnchor="page" w:tblpX="1513" w:tblpY="129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30199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eastAsia" w:ascii="宋体" w:hAnsi="宋体" w:eastAsia="宋体" w:cs="Times New Roman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其他工资福利支出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43.20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43.20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二、商品和服务支出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46.06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46.06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30201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办公费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6.30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6.30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30202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印刷费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1.00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1.00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30203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咨询费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30204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手续费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30205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水费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2.70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2.70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30206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电费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3.70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3.70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30207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邮电费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1.50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1.50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30208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取暖费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3.56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3.56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30209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物业管理费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30211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差旅费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5.50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5.50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30212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因公出国（境）费用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30213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维修（护）费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30214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租赁费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30215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会议费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30216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培训费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4.40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4.40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30217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公务接待费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5.20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5.20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30218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专用材料费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30224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被装购置费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30225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专用燃料费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834" w:type="dxa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30226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劳务费</w:t>
            </w: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28" w:tblpY="3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30227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委托业务费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30228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工会经费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30229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福利费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30231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公务用车运行维护费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30239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其他交通费用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11.12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11.12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30240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税金及附加费用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30299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其他商品和服务支出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1.08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1.08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三、对个人和家庭的补助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1.22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000000"/>
                <w:kern w:val="2"/>
              </w:rPr>
              <w:t>1.22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30301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离休费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30302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退休费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30303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退职（役）费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30304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抚恤金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30305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生活补助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30306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救济费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30307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医疗费补助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1.22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  <w:t>1.22</w:t>
            </w:r>
          </w:p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30308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助学金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30309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奖励金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30310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个人农业生产补贴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30399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其他对个人和家庭的补助支出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310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b/>
                <w:bCs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</w:rPr>
              <w:t>四、资本性支出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Calibri"/>
                <w:b/>
                <w:bCs/>
                <w:color w:val="000000"/>
                <w:kern w:val="2"/>
              </w:rPr>
            </w:pP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31002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办公设备购置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31003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专用设备购置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31007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信息网络及软件购置更新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8" w:hRule="exact"/>
          <w:tblHeader/>
        </w:trPr>
        <w:tc>
          <w:tcPr>
            <w:tcW w:w="283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31099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其他资本性支出</w:t>
            </w:r>
          </w:p>
        </w:tc>
        <w:tc>
          <w:tcPr>
            <w:tcW w:w="2835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hAnsi="宋体" w:eastAsia="宋体" w:cs="宋体"/>
                <w:kern w:val="2"/>
              </w:rPr>
            </w:pPr>
            <w:r>
              <w:rPr>
                <w:rFonts w:hint="eastAsia" w:ascii="宋体" w:hAnsi="宋体" w:eastAsia="宋体" w:cs="Times New Roman"/>
                <w:kern w:val="2"/>
              </w:rPr>
              <w:t>　</w:t>
            </w: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adjustRightInd/>
              <w:snapToGrid/>
              <w:spacing w:after="0"/>
              <w:jc w:val="both"/>
              <w:outlineLvl w:val="1"/>
              <w:rPr>
                <w:rFonts w:hint="eastAsia" w:ascii="黑体" w:hAnsi="宋体" w:eastAsia="黑体" w:cs="Times New Roman"/>
                <w:b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817"/>
    <w:rsid w:val="00172C00"/>
    <w:rsid w:val="00323B43"/>
    <w:rsid w:val="003D37D8"/>
    <w:rsid w:val="003D46E4"/>
    <w:rsid w:val="00426133"/>
    <w:rsid w:val="004358AB"/>
    <w:rsid w:val="008B7726"/>
    <w:rsid w:val="00D31D50"/>
    <w:rsid w:val="00D877DE"/>
    <w:rsid w:val="00E267C4"/>
    <w:rsid w:val="00E624BD"/>
    <w:rsid w:val="1084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1229</Characters>
  <Lines>10</Lines>
  <Paragraphs>2</Paragraphs>
  <TotalTime>10</TotalTime>
  <ScaleCrop>false</ScaleCrop>
  <LinksUpToDate>false</LinksUpToDate>
  <CharactersWithSpaces>1442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2019-02-25T03:43:55Z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